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3A" w:rsidRDefault="0023445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BISNIS NFR TERHADAP PENGAMBILAN KEPUTUSAN KONSUMEN DALAM MEMILIH SPBU</w:t>
      </w:r>
    </w:p>
    <w:p w:rsidR="00234451" w:rsidRDefault="0023445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51" w:rsidRPr="00464449" w:rsidRDefault="00234451" w:rsidP="00590B3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SKRIPSI</w:t>
      </w:r>
    </w:p>
    <w:p w:rsidR="00234451" w:rsidRPr="00464449" w:rsidRDefault="00234451" w:rsidP="00590B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34451" w:rsidRPr="00464449" w:rsidRDefault="00234451" w:rsidP="00590B3B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464449">
        <w:rPr>
          <w:rFonts w:ascii="Times New Roman" w:hAnsi="Times New Roman" w:cs="Times New Roman"/>
        </w:rPr>
        <w:t>Disusun</w:t>
      </w:r>
      <w:proofErr w:type="spellEnd"/>
      <w:r w:rsidRPr="004644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4449">
        <w:rPr>
          <w:rFonts w:ascii="Times New Roman" w:hAnsi="Times New Roman" w:cs="Times New Roman"/>
        </w:rPr>
        <w:t>Oleh</w:t>
      </w:r>
      <w:proofErr w:type="spellEnd"/>
      <w:r w:rsidRPr="00464449">
        <w:rPr>
          <w:rFonts w:ascii="Times New Roman" w:hAnsi="Times New Roman" w:cs="Times New Roman"/>
        </w:rPr>
        <w:t xml:space="preserve"> :</w:t>
      </w:r>
      <w:proofErr w:type="gramEnd"/>
    </w:p>
    <w:p w:rsidR="00234451" w:rsidRPr="00464449" w:rsidRDefault="00234451" w:rsidP="00590B3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MUH. FAUZAN BAHARUDDIN</w:t>
      </w:r>
    </w:p>
    <w:p w:rsidR="00234451" w:rsidRPr="00464449" w:rsidRDefault="00234451" w:rsidP="00590B3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1201130180</w:t>
      </w:r>
    </w:p>
    <w:p w:rsidR="00234451" w:rsidRPr="00464449" w:rsidRDefault="00234451" w:rsidP="00590B3B">
      <w:pPr>
        <w:spacing w:line="276" w:lineRule="auto"/>
        <w:jc w:val="center"/>
        <w:rPr>
          <w:rFonts w:ascii="Times New Roman" w:hAnsi="Times New Roman" w:cs="Times New Roman"/>
        </w:rPr>
      </w:pPr>
    </w:p>
    <w:p w:rsidR="00234451" w:rsidRPr="00464449" w:rsidRDefault="00234451" w:rsidP="00590B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44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14B1D5B" wp14:editId="69B22BA9">
            <wp:simplePos x="0" y="0"/>
            <wp:positionH relativeFrom="column">
              <wp:posOffset>1967865</wp:posOffset>
            </wp:positionH>
            <wp:positionV relativeFrom="paragraph">
              <wp:posOffset>35560</wp:posOffset>
            </wp:positionV>
            <wp:extent cx="2057400" cy="25114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451" w:rsidRPr="00464449" w:rsidRDefault="00234451" w:rsidP="00590B3B">
      <w:pPr>
        <w:spacing w:line="276" w:lineRule="auto"/>
        <w:rPr>
          <w:rFonts w:ascii="Times New Roman" w:hAnsi="Times New Roman" w:cs="Times New Roman"/>
        </w:rPr>
      </w:pPr>
    </w:p>
    <w:p w:rsidR="00234451" w:rsidRPr="00464449" w:rsidRDefault="00234451" w:rsidP="00590B3B">
      <w:pPr>
        <w:spacing w:line="276" w:lineRule="auto"/>
        <w:rPr>
          <w:rFonts w:ascii="Times New Roman" w:hAnsi="Times New Roman" w:cs="Times New Roman"/>
        </w:rPr>
      </w:pPr>
    </w:p>
    <w:p w:rsidR="00234451" w:rsidRPr="00464449" w:rsidRDefault="00234451" w:rsidP="00590B3B">
      <w:pPr>
        <w:spacing w:line="276" w:lineRule="auto"/>
        <w:rPr>
          <w:rFonts w:ascii="Times New Roman" w:hAnsi="Times New Roman" w:cs="Times New Roman"/>
        </w:rPr>
      </w:pPr>
    </w:p>
    <w:p w:rsidR="00234451" w:rsidRPr="00464449" w:rsidRDefault="00234451" w:rsidP="00590B3B">
      <w:pPr>
        <w:spacing w:line="276" w:lineRule="auto"/>
        <w:rPr>
          <w:rFonts w:ascii="Times New Roman" w:hAnsi="Times New Roman" w:cs="Times New Roman"/>
        </w:rPr>
      </w:pPr>
    </w:p>
    <w:p w:rsidR="00234451" w:rsidRPr="00464449" w:rsidRDefault="00234451" w:rsidP="00590B3B">
      <w:pPr>
        <w:spacing w:line="276" w:lineRule="auto"/>
        <w:rPr>
          <w:rFonts w:ascii="Times New Roman" w:hAnsi="Times New Roman" w:cs="Times New Roman"/>
        </w:rPr>
      </w:pPr>
    </w:p>
    <w:p w:rsidR="00234451" w:rsidRPr="00464449" w:rsidRDefault="00234451" w:rsidP="00590B3B">
      <w:pPr>
        <w:spacing w:line="276" w:lineRule="auto"/>
        <w:rPr>
          <w:rFonts w:ascii="Times New Roman" w:hAnsi="Times New Roman" w:cs="Times New Roman"/>
        </w:rPr>
      </w:pPr>
    </w:p>
    <w:p w:rsidR="00234451" w:rsidRPr="00464449" w:rsidRDefault="00234451" w:rsidP="00590B3B">
      <w:pPr>
        <w:spacing w:line="276" w:lineRule="auto"/>
        <w:rPr>
          <w:rFonts w:ascii="Times New Roman" w:hAnsi="Times New Roman" w:cs="Times New Roman"/>
        </w:rPr>
      </w:pPr>
    </w:p>
    <w:p w:rsidR="00234451" w:rsidRPr="00464449" w:rsidRDefault="00234451" w:rsidP="00590B3B">
      <w:pPr>
        <w:spacing w:line="276" w:lineRule="auto"/>
        <w:rPr>
          <w:rFonts w:ascii="Times New Roman" w:hAnsi="Times New Roman" w:cs="Times New Roman"/>
        </w:rPr>
      </w:pPr>
    </w:p>
    <w:p w:rsidR="00234451" w:rsidRPr="00464449" w:rsidRDefault="00234451" w:rsidP="00590B3B">
      <w:pPr>
        <w:spacing w:line="276" w:lineRule="auto"/>
        <w:rPr>
          <w:rFonts w:ascii="Times New Roman" w:hAnsi="Times New Roman" w:cs="Times New Roman"/>
        </w:rPr>
      </w:pPr>
    </w:p>
    <w:p w:rsidR="00234451" w:rsidRDefault="00234451" w:rsidP="00590B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34451" w:rsidRDefault="00234451" w:rsidP="00590B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90B3B" w:rsidRDefault="00590B3B" w:rsidP="00590B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90B3B" w:rsidRDefault="00590B3B" w:rsidP="00590B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90B3B" w:rsidRPr="00464449" w:rsidRDefault="00590B3B" w:rsidP="00590B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34451" w:rsidRPr="00464449" w:rsidRDefault="00234451" w:rsidP="00590B3B">
      <w:pPr>
        <w:tabs>
          <w:tab w:val="left" w:pos="36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64449">
        <w:rPr>
          <w:rFonts w:ascii="Times New Roman" w:hAnsi="Times New Roman" w:cs="Times New Roman"/>
          <w:b/>
        </w:rPr>
        <w:t>S-1 MANAJEMEN BISNIS TELEKOMUNIKASI DAN INFORMATIKA</w:t>
      </w:r>
    </w:p>
    <w:p w:rsidR="00234451" w:rsidRPr="00464449" w:rsidRDefault="00234451" w:rsidP="00590B3B">
      <w:pPr>
        <w:tabs>
          <w:tab w:val="left" w:pos="36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64449">
        <w:rPr>
          <w:rFonts w:ascii="Times New Roman" w:hAnsi="Times New Roman" w:cs="Times New Roman"/>
          <w:b/>
        </w:rPr>
        <w:t>FAKULTAS EKONOMI DAN BISNIS</w:t>
      </w:r>
    </w:p>
    <w:p w:rsidR="00234451" w:rsidRPr="00464449" w:rsidRDefault="00234451" w:rsidP="00590B3B">
      <w:pPr>
        <w:tabs>
          <w:tab w:val="left" w:pos="36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64449">
        <w:rPr>
          <w:rFonts w:ascii="Times New Roman" w:hAnsi="Times New Roman" w:cs="Times New Roman"/>
          <w:b/>
        </w:rPr>
        <w:t>TELKOM UNIVERSITY</w:t>
      </w:r>
    </w:p>
    <w:p w:rsidR="00234451" w:rsidRPr="00464449" w:rsidRDefault="00234451" w:rsidP="00590B3B">
      <w:pPr>
        <w:tabs>
          <w:tab w:val="left" w:pos="36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64449">
        <w:rPr>
          <w:rFonts w:ascii="Times New Roman" w:hAnsi="Times New Roman" w:cs="Times New Roman"/>
          <w:b/>
        </w:rPr>
        <w:t>BANDUNG</w:t>
      </w:r>
    </w:p>
    <w:p w:rsidR="00234451" w:rsidRDefault="00234451" w:rsidP="00590B3B">
      <w:pPr>
        <w:tabs>
          <w:tab w:val="left" w:pos="3640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</w:p>
    <w:p w:rsidR="00590B3B" w:rsidRDefault="00590B3B" w:rsidP="00590B3B">
      <w:pPr>
        <w:tabs>
          <w:tab w:val="left" w:pos="364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590B3B" w:rsidRDefault="00590B3B" w:rsidP="00590B3B">
      <w:pPr>
        <w:tabs>
          <w:tab w:val="left" w:pos="3640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BAB I</w:t>
      </w:r>
    </w:p>
    <w:p w:rsidR="00590B3B" w:rsidRDefault="00590B3B" w:rsidP="00590B3B">
      <w:pPr>
        <w:tabs>
          <w:tab w:val="left" w:pos="3640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PENDAHULUAN</w:t>
      </w:r>
    </w:p>
    <w:p w:rsidR="00590B3B" w:rsidRDefault="00590B3B" w:rsidP="00590B3B">
      <w:pPr>
        <w:pStyle w:val="ListParagraph"/>
        <w:numPr>
          <w:ilvl w:val="1"/>
          <w:numId w:val="1"/>
        </w:numPr>
        <w:tabs>
          <w:tab w:val="left" w:pos="3640"/>
        </w:tabs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590B3B">
        <w:rPr>
          <w:rFonts w:ascii="Times New Roman" w:hAnsi="Times New Roman" w:cs="Times New Roman"/>
          <w:b/>
        </w:rPr>
        <w:t>Latar</w:t>
      </w:r>
      <w:proofErr w:type="spellEnd"/>
      <w:r w:rsidRPr="00590B3B">
        <w:rPr>
          <w:rFonts w:ascii="Times New Roman" w:hAnsi="Times New Roman" w:cs="Times New Roman"/>
          <w:b/>
        </w:rPr>
        <w:t xml:space="preserve"> </w:t>
      </w:r>
      <w:proofErr w:type="spellStart"/>
      <w:r w:rsidRPr="00590B3B">
        <w:rPr>
          <w:rFonts w:ascii="Times New Roman" w:hAnsi="Times New Roman" w:cs="Times New Roman"/>
          <w:b/>
        </w:rPr>
        <w:t>Belakang</w:t>
      </w:r>
      <w:proofErr w:type="spellEnd"/>
    </w:p>
    <w:p w:rsidR="00590B3B" w:rsidRDefault="00590B3B" w:rsidP="00590B3B">
      <w:pPr>
        <w:pStyle w:val="ListParagraph"/>
        <w:tabs>
          <w:tab w:val="left" w:pos="364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D1775B" w:rsidRDefault="005D35EE" w:rsidP="00B65445">
      <w:pPr>
        <w:pStyle w:val="ListParagraph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590B3B">
        <w:rPr>
          <w:rFonts w:ascii="Times New Roman" w:hAnsi="Times New Roman" w:cs="Times New Roman"/>
        </w:rPr>
        <w:t>Stasiun</w:t>
      </w:r>
      <w:proofErr w:type="spellEnd"/>
      <w:r w:rsidR="00590B3B">
        <w:rPr>
          <w:rFonts w:ascii="Times New Roman" w:hAnsi="Times New Roman" w:cs="Times New Roman"/>
        </w:rPr>
        <w:t xml:space="preserve"> </w:t>
      </w:r>
      <w:proofErr w:type="spellStart"/>
      <w:r w:rsidR="00590B3B">
        <w:rPr>
          <w:rFonts w:ascii="Times New Roman" w:hAnsi="Times New Roman" w:cs="Times New Roman"/>
        </w:rPr>
        <w:t>Pengisian</w:t>
      </w:r>
      <w:proofErr w:type="spellEnd"/>
      <w:r w:rsidR="00590B3B">
        <w:rPr>
          <w:rFonts w:ascii="Times New Roman" w:hAnsi="Times New Roman" w:cs="Times New Roman"/>
        </w:rPr>
        <w:t xml:space="preserve"> </w:t>
      </w:r>
      <w:proofErr w:type="spellStart"/>
      <w:r w:rsidR="00590B3B">
        <w:rPr>
          <w:rFonts w:ascii="Times New Roman" w:hAnsi="Times New Roman" w:cs="Times New Roman"/>
        </w:rPr>
        <w:t>Bahan</w:t>
      </w:r>
      <w:proofErr w:type="spellEnd"/>
      <w:r w:rsidR="00590B3B">
        <w:rPr>
          <w:rFonts w:ascii="Times New Roman" w:hAnsi="Times New Roman" w:cs="Times New Roman"/>
        </w:rPr>
        <w:t xml:space="preserve"> </w:t>
      </w:r>
      <w:proofErr w:type="spellStart"/>
      <w:r w:rsidR="00590B3B">
        <w:rPr>
          <w:rFonts w:ascii="Times New Roman" w:hAnsi="Times New Roman" w:cs="Times New Roman"/>
        </w:rPr>
        <w:t>Bakar</w:t>
      </w:r>
      <w:proofErr w:type="spellEnd"/>
      <w:r w:rsidR="00590B3B">
        <w:rPr>
          <w:rFonts w:ascii="Times New Roman" w:hAnsi="Times New Roman" w:cs="Times New Roman"/>
        </w:rPr>
        <w:t xml:space="preserve"> </w:t>
      </w:r>
      <w:proofErr w:type="spellStart"/>
      <w:r w:rsidR="00590B3B">
        <w:rPr>
          <w:rFonts w:ascii="Times New Roman" w:hAnsi="Times New Roman" w:cs="Times New Roman"/>
        </w:rPr>
        <w:t>Umum</w:t>
      </w:r>
      <w:proofErr w:type="spellEnd"/>
      <w:r w:rsidR="00590B3B">
        <w:rPr>
          <w:rFonts w:ascii="Times New Roman" w:hAnsi="Times New Roman" w:cs="Times New Roman"/>
        </w:rPr>
        <w:t xml:space="preserve"> (SPBU) </w:t>
      </w:r>
      <w:proofErr w:type="spellStart"/>
      <w:r w:rsidR="00720893">
        <w:rPr>
          <w:rFonts w:ascii="Times New Roman" w:hAnsi="Times New Roman" w:cs="Times New Roman"/>
        </w:rPr>
        <w:t>atau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dikenal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dengan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istilah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pompa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bensin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oleh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masyarakat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merupakan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mitra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dari</w:t>
      </w:r>
      <w:proofErr w:type="spellEnd"/>
      <w:r w:rsidR="00720893">
        <w:rPr>
          <w:rFonts w:ascii="Times New Roman" w:hAnsi="Times New Roman" w:cs="Times New Roman"/>
        </w:rPr>
        <w:t xml:space="preserve"> Perseroan </w:t>
      </w:r>
      <w:proofErr w:type="spellStart"/>
      <w:r w:rsidR="00720893">
        <w:rPr>
          <w:rFonts w:ascii="Times New Roman" w:hAnsi="Times New Roman" w:cs="Times New Roman"/>
        </w:rPr>
        <w:t>Terbatas</w:t>
      </w:r>
      <w:proofErr w:type="spellEnd"/>
      <w:r w:rsidR="00720893">
        <w:rPr>
          <w:rFonts w:ascii="Times New Roman" w:hAnsi="Times New Roman" w:cs="Times New Roman"/>
        </w:rPr>
        <w:t xml:space="preserve"> (PT) </w:t>
      </w:r>
      <w:proofErr w:type="spellStart"/>
      <w:r w:rsidR="00720893">
        <w:rPr>
          <w:rFonts w:ascii="Times New Roman" w:hAnsi="Times New Roman" w:cs="Times New Roman"/>
        </w:rPr>
        <w:t>Pertamina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dengan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kegiatan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utamanya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adalah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menyalurkan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atau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menjual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bahan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bakar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minyak</w:t>
      </w:r>
      <w:proofErr w:type="spellEnd"/>
      <w:r w:rsidR="00720893">
        <w:rPr>
          <w:rFonts w:ascii="Times New Roman" w:hAnsi="Times New Roman" w:cs="Times New Roman"/>
        </w:rPr>
        <w:t xml:space="preserve"> (BBM) </w:t>
      </w:r>
      <w:proofErr w:type="spellStart"/>
      <w:r w:rsidR="00720893">
        <w:rPr>
          <w:rFonts w:ascii="Times New Roman" w:hAnsi="Times New Roman" w:cs="Times New Roman"/>
        </w:rPr>
        <w:t>bersubsidi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atau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r w:rsidR="001D6CD1">
        <w:rPr>
          <w:rFonts w:ascii="Times New Roman" w:hAnsi="Times New Roman" w:cs="Times New Roman"/>
        </w:rPr>
        <w:t>non</w:t>
      </w:r>
      <w:r w:rsidR="00720893">
        <w:rPr>
          <w:rFonts w:ascii="Times New Roman" w:hAnsi="Times New Roman" w:cs="Times New Roman"/>
          <w:i/>
        </w:rPr>
        <w:t>-</w:t>
      </w:r>
      <w:proofErr w:type="spellStart"/>
      <w:r w:rsidR="00720893">
        <w:rPr>
          <w:rFonts w:ascii="Times New Roman" w:hAnsi="Times New Roman" w:cs="Times New Roman"/>
        </w:rPr>
        <w:t>subsidi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kepada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masyarakat</w:t>
      </w:r>
      <w:proofErr w:type="spellEnd"/>
      <w:r w:rsidR="00720893">
        <w:rPr>
          <w:rFonts w:ascii="Times New Roman" w:hAnsi="Times New Roman" w:cs="Times New Roman"/>
        </w:rPr>
        <w:t xml:space="preserve"> </w:t>
      </w:r>
      <w:proofErr w:type="spellStart"/>
      <w:r w:rsidR="00720893">
        <w:rPr>
          <w:rFonts w:ascii="Times New Roman" w:hAnsi="Times New Roman" w:cs="Times New Roman"/>
        </w:rPr>
        <w:t>umum</w:t>
      </w:r>
      <w:proofErr w:type="spellEnd"/>
      <w:r w:rsidR="00720893">
        <w:rPr>
          <w:rFonts w:ascii="Times New Roman" w:hAnsi="Times New Roman" w:cs="Times New Roman"/>
        </w:rPr>
        <w:t xml:space="preserve">. </w:t>
      </w:r>
      <w:proofErr w:type="spellStart"/>
      <w:r w:rsidR="001D6CD1">
        <w:rPr>
          <w:rFonts w:ascii="Times New Roman" w:hAnsi="Times New Roman" w:cs="Times New Roman"/>
        </w:rPr>
        <w:t>Selain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sebagai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penyalur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atau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penjual</w:t>
      </w:r>
      <w:proofErr w:type="spellEnd"/>
      <w:r w:rsidR="001D6CD1">
        <w:rPr>
          <w:rFonts w:ascii="Times New Roman" w:hAnsi="Times New Roman" w:cs="Times New Roman"/>
        </w:rPr>
        <w:t xml:space="preserve"> BBM, SPBU </w:t>
      </w:r>
      <w:proofErr w:type="spellStart"/>
      <w:r w:rsidR="001D6CD1">
        <w:rPr>
          <w:rFonts w:ascii="Times New Roman" w:hAnsi="Times New Roman" w:cs="Times New Roman"/>
        </w:rPr>
        <w:t>memiliki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kerja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D6CD1">
        <w:rPr>
          <w:rFonts w:ascii="Times New Roman" w:hAnsi="Times New Roman" w:cs="Times New Roman"/>
        </w:rPr>
        <w:t>sama</w:t>
      </w:r>
      <w:proofErr w:type="spellEnd"/>
      <w:proofErr w:type="gram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dengan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perusahaan</w:t>
      </w:r>
      <w:proofErr w:type="spellEnd"/>
      <w:r w:rsidR="001D6CD1">
        <w:rPr>
          <w:rFonts w:ascii="Times New Roman" w:hAnsi="Times New Roman" w:cs="Times New Roman"/>
        </w:rPr>
        <w:t xml:space="preserve"> yang </w:t>
      </w:r>
      <w:proofErr w:type="spellStart"/>
      <w:r w:rsidR="001D6CD1">
        <w:rPr>
          <w:rFonts w:ascii="Times New Roman" w:hAnsi="Times New Roman" w:cs="Times New Roman"/>
        </w:rPr>
        <w:t>bergerak</w:t>
      </w:r>
      <w:proofErr w:type="spellEnd"/>
      <w:r w:rsidR="001D6CD1">
        <w:rPr>
          <w:rFonts w:ascii="Times New Roman" w:hAnsi="Times New Roman" w:cs="Times New Roman"/>
        </w:rPr>
        <w:t xml:space="preserve"> di </w:t>
      </w:r>
      <w:proofErr w:type="spellStart"/>
      <w:r w:rsidR="001D6CD1">
        <w:rPr>
          <w:rFonts w:ascii="Times New Roman" w:hAnsi="Times New Roman" w:cs="Times New Roman"/>
        </w:rPr>
        <w:t>bidang</w:t>
      </w:r>
      <w:proofErr w:type="spellEnd"/>
      <w:r w:rsidR="001D6CD1">
        <w:rPr>
          <w:rFonts w:ascii="Times New Roman" w:hAnsi="Times New Roman" w:cs="Times New Roman"/>
        </w:rPr>
        <w:t xml:space="preserve"> non-BBM yang </w:t>
      </w:r>
      <w:proofErr w:type="spellStart"/>
      <w:r w:rsidR="001D6CD1">
        <w:rPr>
          <w:rFonts w:ascii="Times New Roman" w:hAnsi="Times New Roman" w:cs="Times New Roman"/>
        </w:rPr>
        <w:t>disebut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dengan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bisnis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r w:rsidR="001D6CD1">
        <w:rPr>
          <w:rFonts w:ascii="Times New Roman" w:hAnsi="Times New Roman" w:cs="Times New Roman"/>
          <w:i/>
        </w:rPr>
        <w:t xml:space="preserve">Non Fuel Retail </w:t>
      </w:r>
      <w:r w:rsidR="001D6CD1">
        <w:rPr>
          <w:rFonts w:ascii="Times New Roman" w:hAnsi="Times New Roman" w:cs="Times New Roman"/>
        </w:rPr>
        <w:t xml:space="preserve">(NFR). </w:t>
      </w:r>
      <w:proofErr w:type="spellStart"/>
      <w:r w:rsidR="001D6CD1">
        <w:rPr>
          <w:rFonts w:ascii="Times New Roman" w:hAnsi="Times New Roman" w:cs="Times New Roman"/>
        </w:rPr>
        <w:t>Bisnis</w:t>
      </w:r>
      <w:proofErr w:type="spellEnd"/>
      <w:r w:rsidR="001D6CD1">
        <w:rPr>
          <w:rFonts w:ascii="Times New Roman" w:hAnsi="Times New Roman" w:cs="Times New Roman"/>
        </w:rPr>
        <w:t xml:space="preserve"> NFR </w:t>
      </w:r>
      <w:proofErr w:type="spellStart"/>
      <w:r w:rsidR="001D6CD1">
        <w:rPr>
          <w:rFonts w:ascii="Times New Roman" w:hAnsi="Times New Roman" w:cs="Times New Roman"/>
        </w:rPr>
        <w:t>dapat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membantu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menigkatkan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pendapatan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dari</w:t>
      </w:r>
      <w:proofErr w:type="spellEnd"/>
      <w:r w:rsidR="001D6CD1">
        <w:rPr>
          <w:rFonts w:ascii="Times New Roman" w:hAnsi="Times New Roman" w:cs="Times New Roman"/>
        </w:rPr>
        <w:t xml:space="preserve"> SPBU </w:t>
      </w:r>
      <w:proofErr w:type="spellStart"/>
      <w:r w:rsidR="001D6CD1">
        <w:rPr>
          <w:rFonts w:ascii="Times New Roman" w:hAnsi="Times New Roman" w:cs="Times New Roman"/>
        </w:rPr>
        <w:t>selain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dari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bisnis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utamanya</w:t>
      </w:r>
      <w:proofErr w:type="spellEnd"/>
      <w:r w:rsidR="001D6CD1">
        <w:rPr>
          <w:rFonts w:ascii="Times New Roman" w:hAnsi="Times New Roman" w:cs="Times New Roman"/>
        </w:rPr>
        <w:t xml:space="preserve"> </w:t>
      </w:r>
      <w:proofErr w:type="spellStart"/>
      <w:r w:rsidR="001D6CD1">
        <w:rPr>
          <w:rFonts w:ascii="Times New Roman" w:hAnsi="Times New Roman" w:cs="Times New Roman"/>
        </w:rPr>
        <w:t>yait</w:t>
      </w:r>
      <w:r w:rsidR="008841FF">
        <w:rPr>
          <w:rFonts w:ascii="Times New Roman" w:hAnsi="Times New Roman" w:cs="Times New Roman"/>
        </w:rPr>
        <w:t>u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menyalurkan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atau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menjual</w:t>
      </w:r>
      <w:proofErr w:type="spellEnd"/>
      <w:r w:rsidR="008841FF">
        <w:rPr>
          <w:rFonts w:ascii="Times New Roman" w:hAnsi="Times New Roman" w:cs="Times New Roman"/>
        </w:rPr>
        <w:t xml:space="preserve"> BBM. </w:t>
      </w:r>
      <w:proofErr w:type="spellStart"/>
      <w:r w:rsidR="008841FF">
        <w:rPr>
          <w:rFonts w:ascii="Times New Roman" w:hAnsi="Times New Roman" w:cs="Times New Roman"/>
        </w:rPr>
        <w:t>Selain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itu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bisnis</w:t>
      </w:r>
      <w:proofErr w:type="spellEnd"/>
      <w:r w:rsidR="008841FF">
        <w:rPr>
          <w:rFonts w:ascii="Times New Roman" w:hAnsi="Times New Roman" w:cs="Times New Roman"/>
        </w:rPr>
        <w:t xml:space="preserve"> NFR </w:t>
      </w:r>
      <w:proofErr w:type="spellStart"/>
      <w:r w:rsidR="008841FF">
        <w:rPr>
          <w:rFonts w:ascii="Times New Roman" w:hAnsi="Times New Roman" w:cs="Times New Roman"/>
        </w:rPr>
        <w:t>diharapkan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untuk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menigkatkan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daya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saing</w:t>
      </w:r>
      <w:proofErr w:type="spellEnd"/>
      <w:r w:rsidR="008841FF">
        <w:rPr>
          <w:rFonts w:ascii="Times New Roman" w:hAnsi="Times New Roman" w:cs="Times New Roman"/>
        </w:rPr>
        <w:t xml:space="preserve"> SPBU PT. </w:t>
      </w:r>
      <w:proofErr w:type="spellStart"/>
      <w:r w:rsidR="008841FF">
        <w:rPr>
          <w:rFonts w:ascii="Times New Roman" w:hAnsi="Times New Roman" w:cs="Times New Roman"/>
        </w:rPr>
        <w:t>Pertamina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dibandingkan</w:t>
      </w:r>
      <w:proofErr w:type="spellEnd"/>
      <w:r w:rsidR="008841FF">
        <w:rPr>
          <w:rFonts w:ascii="Times New Roman" w:hAnsi="Times New Roman" w:cs="Times New Roman"/>
        </w:rPr>
        <w:t xml:space="preserve"> </w:t>
      </w:r>
      <w:proofErr w:type="spellStart"/>
      <w:r w:rsidR="008841FF">
        <w:rPr>
          <w:rFonts w:ascii="Times New Roman" w:hAnsi="Times New Roman" w:cs="Times New Roman"/>
        </w:rPr>
        <w:t>dengan</w:t>
      </w:r>
      <w:proofErr w:type="spellEnd"/>
      <w:r w:rsidR="008841FF">
        <w:rPr>
          <w:rFonts w:ascii="Times New Roman" w:hAnsi="Times New Roman" w:cs="Times New Roman"/>
        </w:rPr>
        <w:t xml:space="preserve"> SPBU </w:t>
      </w:r>
      <w:proofErr w:type="spellStart"/>
      <w:r w:rsidR="008841FF">
        <w:rPr>
          <w:rFonts w:ascii="Times New Roman" w:hAnsi="Times New Roman" w:cs="Times New Roman"/>
        </w:rPr>
        <w:t>asing</w:t>
      </w:r>
      <w:proofErr w:type="spellEnd"/>
      <w:r w:rsidR="008841FF">
        <w:rPr>
          <w:rFonts w:ascii="Times New Roman" w:hAnsi="Times New Roman" w:cs="Times New Roman"/>
        </w:rPr>
        <w:t xml:space="preserve"> / </w:t>
      </w:r>
      <w:proofErr w:type="spellStart"/>
      <w:r w:rsidR="008841FF">
        <w:rPr>
          <w:rFonts w:ascii="Times New Roman" w:hAnsi="Times New Roman" w:cs="Times New Roman"/>
        </w:rPr>
        <w:t>pesaing</w:t>
      </w:r>
      <w:proofErr w:type="spellEnd"/>
      <w:r w:rsidR="008841FF">
        <w:rPr>
          <w:rFonts w:ascii="Times New Roman" w:hAnsi="Times New Roman" w:cs="Times New Roman"/>
        </w:rPr>
        <w:t xml:space="preserve">. </w:t>
      </w:r>
    </w:p>
    <w:p w:rsidR="0039290B" w:rsidRDefault="005D35EE" w:rsidP="00B65445">
      <w:pPr>
        <w:pStyle w:val="ListParagraph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D1775B">
        <w:rPr>
          <w:rFonts w:ascii="Times New Roman" w:hAnsi="Times New Roman" w:cs="Times New Roman"/>
        </w:rPr>
        <w:t>Lokasi</w:t>
      </w:r>
      <w:proofErr w:type="spellEnd"/>
      <w:r w:rsidR="00D1775B">
        <w:rPr>
          <w:rFonts w:ascii="Times New Roman" w:hAnsi="Times New Roman" w:cs="Times New Roman"/>
        </w:rPr>
        <w:t xml:space="preserve"> SPBU </w:t>
      </w:r>
      <w:proofErr w:type="spellStart"/>
      <w:r w:rsidR="00D1775B">
        <w:rPr>
          <w:rFonts w:ascii="Times New Roman" w:hAnsi="Times New Roman" w:cs="Times New Roman"/>
        </w:rPr>
        <w:t>dibagi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berdasarkan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wilayah</w:t>
      </w:r>
      <w:proofErr w:type="spellEnd"/>
      <w:r w:rsidR="00D1775B">
        <w:rPr>
          <w:rFonts w:ascii="Times New Roman" w:hAnsi="Times New Roman" w:cs="Times New Roman"/>
        </w:rPr>
        <w:t xml:space="preserve"> yang </w:t>
      </w:r>
      <w:proofErr w:type="spellStart"/>
      <w:r w:rsidR="00D1775B">
        <w:rPr>
          <w:rFonts w:ascii="Times New Roman" w:hAnsi="Times New Roman" w:cs="Times New Roman"/>
        </w:rPr>
        <w:t>telah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ditetapkan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oleh</w:t>
      </w:r>
      <w:proofErr w:type="spellEnd"/>
      <w:r w:rsidR="00D1775B">
        <w:rPr>
          <w:rFonts w:ascii="Times New Roman" w:hAnsi="Times New Roman" w:cs="Times New Roman"/>
        </w:rPr>
        <w:t xml:space="preserve"> PT. </w:t>
      </w:r>
      <w:proofErr w:type="spellStart"/>
      <w:r w:rsidR="00D1775B">
        <w:rPr>
          <w:rFonts w:ascii="Times New Roman" w:hAnsi="Times New Roman" w:cs="Times New Roman"/>
        </w:rPr>
        <w:t>Pertamina</w:t>
      </w:r>
      <w:proofErr w:type="spellEnd"/>
      <w:r w:rsidR="00D1775B">
        <w:rPr>
          <w:rFonts w:ascii="Times New Roman" w:hAnsi="Times New Roman" w:cs="Times New Roman"/>
        </w:rPr>
        <w:t xml:space="preserve">. Di </w:t>
      </w:r>
      <w:proofErr w:type="spellStart"/>
      <w:r w:rsidR="00D1775B">
        <w:rPr>
          <w:rFonts w:ascii="Times New Roman" w:hAnsi="Times New Roman" w:cs="Times New Roman"/>
        </w:rPr>
        <w:t>dalam</w:t>
      </w:r>
      <w:proofErr w:type="spellEnd"/>
      <w:r w:rsidR="00D1775B">
        <w:rPr>
          <w:rFonts w:ascii="Times New Roman" w:hAnsi="Times New Roman" w:cs="Times New Roman"/>
        </w:rPr>
        <w:t xml:space="preserve"> 1 </w:t>
      </w:r>
      <w:proofErr w:type="spellStart"/>
      <w:proofErr w:type="gramStart"/>
      <w:r w:rsidR="00D1775B">
        <w:rPr>
          <w:rFonts w:ascii="Times New Roman" w:hAnsi="Times New Roman" w:cs="Times New Roman"/>
        </w:rPr>
        <w:t>wilayah</w:t>
      </w:r>
      <w:proofErr w:type="spellEnd"/>
      <w:r w:rsidR="00D1775B">
        <w:rPr>
          <w:rFonts w:ascii="Times New Roman" w:hAnsi="Times New Roman" w:cs="Times New Roman"/>
        </w:rPr>
        <w:t xml:space="preserve">  </w:t>
      </w:r>
      <w:proofErr w:type="spellStart"/>
      <w:r w:rsidR="00D1775B">
        <w:rPr>
          <w:rFonts w:ascii="Times New Roman" w:hAnsi="Times New Roman" w:cs="Times New Roman"/>
        </w:rPr>
        <w:t>terdapat</w:t>
      </w:r>
      <w:proofErr w:type="spellEnd"/>
      <w:proofErr w:type="gram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beberapa</w:t>
      </w:r>
      <w:proofErr w:type="spellEnd"/>
      <w:r w:rsidR="00D1775B">
        <w:rPr>
          <w:rFonts w:ascii="Times New Roman" w:hAnsi="Times New Roman" w:cs="Times New Roman"/>
        </w:rPr>
        <w:t xml:space="preserve"> SPBU yang </w:t>
      </w:r>
      <w:proofErr w:type="spellStart"/>
      <w:r w:rsidR="00D1775B">
        <w:rPr>
          <w:rFonts w:ascii="Times New Roman" w:hAnsi="Times New Roman" w:cs="Times New Roman"/>
        </w:rPr>
        <w:t>memungkin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berjarak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tidak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lebih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dari</w:t>
      </w:r>
      <w:proofErr w:type="spellEnd"/>
      <w:r w:rsidR="00D1775B">
        <w:rPr>
          <w:rFonts w:ascii="Times New Roman" w:hAnsi="Times New Roman" w:cs="Times New Roman"/>
        </w:rPr>
        <w:t xml:space="preserve"> 1 km, </w:t>
      </w:r>
      <w:proofErr w:type="spellStart"/>
      <w:r w:rsidR="00D1775B">
        <w:rPr>
          <w:rFonts w:ascii="Times New Roman" w:hAnsi="Times New Roman" w:cs="Times New Roman"/>
        </w:rPr>
        <w:t>seperti</w:t>
      </w:r>
      <w:proofErr w:type="spellEnd"/>
      <w:r w:rsidR="00D1775B">
        <w:rPr>
          <w:rFonts w:ascii="Times New Roman" w:hAnsi="Times New Roman" w:cs="Times New Roman"/>
        </w:rPr>
        <w:t xml:space="preserve"> di Jl. </w:t>
      </w:r>
      <w:proofErr w:type="spellStart"/>
      <w:r w:rsidR="00D1775B">
        <w:rPr>
          <w:rFonts w:ascii="Times New Roman" w:hAnsi="Times New Roman" w:cs="Times New Roman"/>
        </w:rPr>
        <w:t>Soekarno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Hatta</w:t>
      </w:r>
      <w:proofErr w:type="spellEnd"/>
      <w:r w:rsidR="00D1775B">
        <w:rPr>
          <w:rFonts w:ascii="Times New Roman" w:hAnsi="Times New Roman" w:cs="Times New Roman"/>
        </w:rPr>
        <w:t xml:space="preserve">, Bandung, Indonesia, </w:t>
      </w:r>
      <w:proofErr w:type="spellStart"/>
      <w:r w:rsidR="00D1775B">
        <w:rPr>
          <w:rFonts w:ascii="Times New Roman" w:hAnsi="Times New Roman" w:cs="Times New Roman"/>
        </w:rPr>
        <w:t>terdapat</w:t>
      </w:r>
      <w:proofErr w:type="spellEnd"/>
      <w:r w:rsidR="00D1775B">
        <w:rPr>
          <w:rFonts w:ascii="Times New Roman" w:hAnsi="Times New Roman" w:cs="Times New Roman"/>
        </w:rPr>
        <w:t xml:space="preserve"> 2 unit SPBU di </w:t>
      </w:r>
      <w:proofErr w:type="spellStart"/>
      <w:r w:rsidR="00D1775B">
        <w:rPr>
          <w:rFonts w:ascii="Times New Roman" w:hAnsi="Times New Roman" w:cs="Times New Roman"/>
        </w:rPr>
        <w:t>daerah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tersebut</w:t>
      </w:r>
      <w:proofErr w:type="spellEnd"/>
      <w:r w:rsidR="00D1775B">
        <w:rPr>
          <w:rFonts w:ascii="Times New Roman" w:hAnsi="Times New Roman" w:cs="Times New Roman"/>
        </w:rPr>
        <w:t xml:space="preserve">. </w:t>
      </w:r>
      <w:proofErr w:type="spellStart"/>
      <w:r w:rsidR="00D1775B">
        <w:rPr>
          <w:rFonts w:ascii="Times New Roman" w:hAnsi="Times New Roman" w:cs="Times New Roman"/>
        </w:rPr>
        <w:t>Tetapi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salah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satu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dari</w:t>
      </w:r>
      <w:proofErr w:type="spellEnd"/>
      <w:r w:rsidR="00D1775B">
        <w:rPr>
          <w:rFonts w:ascii="Times New Roman" w:hAnsi="Times New Roman" w:cs="Times New Roman"/>
        </w:rPr>
        <w:t xml:space="preserve"> SPBU </w:t>
      </w:r>
      <w:proofErr w:type="spellStart"/>
      <w:r w:rsidR="00D1775B">
        <w:rPr>
          <w:rFonts w:ascii="Times New Roman" w:hAnsi="Times New Roman" w:cs="Times New Roman"/>
        </w:rPr>
        <w:t>tersebut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mempunyai</w:t>
      </w:r>
      <w:proofErr w:type="spellEnd"/>
      <w:r w:rsidR="00D1775B">
        <w:rPr>
          <w:rFonts w:ascii="Times New Roman" w:hAnsi="Times New Roman" w:cs="Times New Roman"/>
        </w:rPr>
        <w:t xml:space="preserve"> </w:t>
      </w:r>
      <w:proofErr w:type="spellStart"/>
      <w:r w:rsidR="00D1775B">
        <w:rPr>
          <w:rFonts w:ascii="Times New Roman" w:hAnsi="Times New Roman" w:cs="Times New Roman"/>
        </w:rPr>
        <w:t>omset</w:t>
      </w:r>
      <w:proofErr w:type="spellEnd"/>
      <w:r w:rsidR="00D1775B">
        <w:rPr>
          <w:rFonts w:ascii="Times New Roman" w:hAnsi="Times New Roman" w:cs="Times New Roman"/>
        </w:rPr>
        <w:t xml:space="preserve"> yang </w:t>
      </w:r>
      <w:proofErr w:type="spellStart"/>
      <w:r w:rsidR="0039290B">
        <w:rPr>
          <w:rFonts w:ascii="Times New Roman" w:hAnsi="Times New Roman" w:cs="Times New Roman"/>
        </w:rPr>
        <w:t>lebih</w:t>
      </w:r>
      <w:proofErr w:type="spellEnd"/>
      <w:r w:rsidR="0039290B">
        <w:rPr>
          <w:rFonts w:ascii="Times New Roman" w:hAnsi="Times New Roman" w:cs="Times New Roman"/>
        </w:rPr>
        <w:t xml:space="preserve"> </w:t>
      </w:r>
      <w:proofErr w:type="spellStart"/>
      <w:r w:rsidR="0039290B">
        <w:rPr>
          <w:rFonts w:ascii="Times New Roman" w:hAnsi="Times New Roman" w:cs="Times New Roman"/>
        </w:rPr>
        <w:t>tinggi</w:t>
      </w:r>
      <w:proofErr w:type="spellEnd"/>
      <w:r w:rsidR="0039290B">
        <w:rPr>
          <w:rFonts w:ascii="Times New Roman" w:hAnsi="Times New Roman" w:cs="Times New Roman"/>
        </w:rPr>
        <w:t xml:space="preserve"> </w:t>
      </w:r>
      <w:proofErr w:type="spellStart"/>
      <w:r w:rsidR="0039290B">
        <w:rPr>
          <w:rFonts w:ascii="Times New Roman" w:hAnsi="Times New Roman" w:cs="Times New Roman"/>
        </w:rPr>
        <w:t>dari</w:t>
      </w:r>
      <w:proofErr w:type="spellEnd"/>
      <w:r w:rsidR="0039290B">
        <w:rPr>
          <w:rFonts w:ascii="Times New Roman" w:hAnsi="Times New Roman" w:cs="Times New Roman"/>
        </w:rPr>
        <w:t xml:space="preserve"> SPBU </w:t>
      </w:r>
      <w:proofErr w:type="spellStart"/>
      <w:r w:rsidR="0039290B">
        <w:rPr>
          <w:rFonts w:ascii="Times New Roman" w:hAnsi="Times New Roman" w:cs="Times New Roman"/>
        </w:rPr>
        <w:t>lainnya</w:t>
      </w:r>
      <w:proofErr w:type="spellEnd"/>
      <w:r w:rsidR="0039290B">
        <w:rPr>
          <w:rFonts w:ascii="Times New Roman" w:hAnsi="Times New Roman" w:cs="Times New Roman"/>
        </w:rPr>
        <w:t xml:space="preserve">. </w:t>
      </w:r>
    </w:p>
    <w:p w:rsidR="005D35EE" w:rsidRDefault="0039290B" w:rsidP="005D35EE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Dari </w:t>
      </w:r>
      <w:proofErr w:type="spellStart"/>
      <w:r>
        <w:rPr>
          <w:rFonts w:ascii="Times New Roman" w:hAnsi="Times New Roman" w:cs="Times New Roman"/>
        </w:rPr>
        <w:t>fenomena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sebelumnya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NFR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menigkatkan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SPBU. </w:t>
      </w:r>
      <w:proofErr w:type="spellStart"/>
      <w:r w:rsidR="005D35EE">
        <w:rPr>
          <w:rFonts w:ascii="Times New Roman" w:hAnsi="Times New Roman" w:cs="Times New Roman"/>
        </w:rPr>
        <w:t>Selain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meningkatkan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pendapatan</w:t>
      </w:r>
      <w:proofErr w:type="spellEnd"/>
      <w:r w:rsidR="005D35EE">
        <w:rPr>
          <w:rFonts w:ascii="Times New Roman" w:hAnsi="Times New Roman" w:cs="Times New Roman"/>
        </w:rPr>
        <w:t xml:space="preserve">, </w:t>
      </w:r>
      <w:proofErr w:type="spellStart"/>
      <w:r w:rsidR="005D35EE">
        <w:rPr>
          <w:rFonts w:ascii="Times New Roman" w:hAnsi="Times New Roman" w:cs="Times New Roman"/>
        </w:rPr>
        <w:t>bisnis</w:t>
      </w:r>
      <w:proofErr w:type="spellEnd"/>
      <w:r w:rsidR="005D35EE">
        <w:rPr>
          <w:rFonts w:ascii="Times New Roman" w:hAnsi="Times New Roman" w:cs="Times New Roman"/>
        </w:rPr>
        <w:t xml:space="preserve"> NFR </w:t>
      </w:r>
      <w:proofErr w:type="spellStart"/>
      <w:r w:rsidR="005D35EE">
        <w:rPr>
          <w:rFonts w:ascii="Times New Roman" w:hAnsi="Times New Roman" w:cs="Times New Roman"/>
        </w:rPr>
        <w:t>dapat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menarik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minat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dari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konsumen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untuk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membeli</w:t>
      </w:r>
      <w:proofErr w:type="spellEnd"/>
      <w:r w:rsidR="005D35EE">
        <w:rPr>
          <w:rFonts w:ascii="Times New Roman" w:hAnsi="Times New Roman" w:cs="Times New Roman"/>
        </w:rPr>
        <w:t xml:space="preserve"> BBM di SPBU </w:t>
      </w:r>
      <w:proofErr w:type="spellStart"/>
      <w:r w:rsidR="005D35EE">
        <w:rPr>
          <w:rFonts w:ascii="Times New Roman" w:hAnsi="Times New Roman" w:cs="Times New Roman"/>
        </w:rPr>
        <w:t>tersebut</w:t>
      </w:r>
      <w:proofErr w:type="spellEnd"/>
      <w:r w:rsidR="005D35EE">
        <w:rPr>
          <w:rFonts w:ascii="Times New Roman" w:hAnsi="Times New Roman" w:cs="Times New Roman"/>
        </w:rPr>
        <w:t xml:space="preserve">. </w:t>
      </w:r>
      <w:proofErr w:type="spellStart"/>
      <w:r w:rsidR="005D35EE">
        <w:rPr>
          <w:rFonts w:ascii="Times New Roman" w:hAnsi="Times New Roman" w:cs="Times New Roman"/>
        </w:rPr>
        <w:t>Berdasarkan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latar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belakang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tersebut</w:t>
      </w:r>
      <w:proofErr w:type="spellEnd"/>
      <w:r w:rsidR="005D35EE">
        <w:rPr>
          <w:rFonts w:ascii="Times New Roman" w:hAnsi="Times New Roman" w:cs="Times New Roman"/>
        </w:rPr>
        <w:t xml:space="preserve">, </w:t>
      </w:r>
      <w:proofErr w:type="spellStart"/>
      <w:r w:rsidR="005D35EE">
        <w:rPr>
          <w:rFonts w:ascii="Times New Roman" w:hAnsi="Times New Roman" w:cs="Times New Roman"/>
        </w:rPr>
        <w:t>peneliti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tertarik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untuk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melakukan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penelitian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dengan</w:t>
      </w:r>
      <w:proofErr w:type="spellEnd"/>
      <w:r w:rsidR="005D35EE">
        <w:rPr>
          <w:rFonts w:ascii="Times New Roman" w:hAnsi="Times New Roman" w:cs="Times New Roman"/>
        </w:rPr>
        <w:t xml:space="preserve"> </w:t>
      </w:r>
      <w:proofErr w:type="spellStart"/>
      <w:r w:rsidR="005D35EE">
        <w:rPr>
          <w:rFonts w:ascii="Times New Roman" w:hAnsi="Times New Roman" w:cs="Times New Roman"/>
        </w:rPr>
        <w:t>judul</w:t>
      </w:r>
      <w:proofErr w:type="spellEnd"/>
      <w:r w:rsidR="005D35EE">
        <w:rPr>
          <w:rFonts w:ascii="Times New Roman" w:hAnsi="Times New Roman" w:cs="Times New Roman"/>
        </w:rPr>
        <w:t xml:space="preserve"> “</w:t>
      </w:r>
      <w:r w:rsidR="005D35EE">
        <w:rPr>
          <w:rFonts w:ascii="Times New Roman" w:hAnsi="Times New Roman" w:cs="Times New Roman"/>
          <w:b/>
          <w:sz w:val="24"/>
          <w:szCs w:val="24"/>
        </w:rPr>
        <w:t>PENGARUH BISNIS NFR TERHADAP PENGAMBILAN KEPUTUSAN KONSUMEN DALAM MEMILIH SPBU</w:t>
      </w:r>
      <w:r w:rsidR="005D35EE">
        <w:rPr>
          <w:rFonts w:ascii="Times New Roman" w:hAnsi="Times New Roman" w:cs="Times New Roman"/>
          <w:b/>
          <w:sz w:val="24"/>
          <w:szCs w:val="24"/>
        </w:rPr>
        <w:t>”.</w:t>
      </w:r>
    </w:p>
    <w:p w:rsidR="00590B3B" w:rsidRDefault="005D35EE" w:rsidP="005D35EE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D35EE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5D35EE" w:rsidRPr="005D35EE" w:rsidRDefault="005D35EE" w:rsidP="005D35EE">
      <w:pPr>
        <w:pStyle w:val="ListParagraph"/>
        <w:spacing w:line="276" w:lineRule="auto"/>
        <w:ind w:left="360"/>
        <w:rPr>
          <w:rFonts w:ascii="Times New Roman" w:hAnsi="Times New Roman" w:cs="Times New Roman"/>
          <w:b/>
        </w:rPr>
      </w:pPr>
    </w:p>
    <w:p w:rsidR="005D35EE" w:rsidRDefault="005D35EE" w:rsidP="005D35EE">
      <w:pPr>
        <w:pStyle w:val="ListParagraph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5D35EE"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NFR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pengambilan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keputusan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SPBU ?</w:t>
      </w:r>
      <w:proofErr w:type="gramEnd"/>
    </w:p>
    <w:p w:rsidR="005D35EE" w:rsidRDefault="005D35EE" w:rsidP="005D35EE">
      <w:pPr>
        <w:pStyle w:val="ListParagraph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NFR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SPBU ?</w:t>
      </w:r>
      <w:proofErr w:type="gramEnd"/>
    </w:p>
    <w:p w:rsidR="005D35EE" w:rsidRDefault="005D35EE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5D35EE" w:rsidRDefault="005D35EE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  <w:r w:rsidRPr="005D35EE">
        <w:rPr>
          <w:rFonts w:ascii="Times New Roman" w:hAnsi="Times New Roman" w:cs="Times New Roman"/>
          <w:b/>
        </w:rPr>
        <w:t>1.3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Literatur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</w:t>
      </w:r>
      <w:proofErr w:type="spellEnd"/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CD6302" w:rsidRDefault="00CD6302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:rsidR="005D35EE" w:rsidRDefault="005D35EE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877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350"/>
        <w:gridCol w:w="1005"/>
        <w:gridCol w:w="1276"/>
        <w:gridCol w:w="1417"/>
        <w:gridCol w:w="1843"/>
        <w:gridCol w:w="1524"/>
        <w:gridCol w:w="687"/>
        <w:gridCol w:w="668"/>
      </w:tblGrid>
      <w:tr w:rsidR="005F0CF1" w:rsidTr="005F0CF1">
        <w:tc>
          <w:tcPr>
            <w:tcW w:w="350" w:type="dxa"/>
          </w:tcPr>
          <w:p w:rsidR="005D35EE" w:rsidRPr="00A13470" w:rsidRDefault="005D35EE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1347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No</w:t>
            </w:r>
          </w:p>
        </w:tc>
        <w:tc>
          <w:tcPr>
            <w:tcW w:w="1005" w:type="dxa"/>
          </w:tcPr>
          <w:p w:rsidR="005D35EE" w:rsidRPr="00A13470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Pengarang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76" w:type="dxa"/>
          </w:tcPr>
          <w:p w:rsidR="005D35EE" w:rsidRPr="00A13470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Artikel</w:t>
            </w:r>
            <w:proofErr w:type="spellEnd"/>
          </w:p>
        </w:tc>
        <w:tc>
          <w:tcPr>
            <w:tcW w:w="1417" w:type="dxa"/>
          </w:tcPr>
          <w:p w:rsidR="005D35EE" w:rsidRPr="00A13470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Variabel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D35EE" w:rsidRPr="00A13470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524" w:type="dxa"/>
          </w:tcPr>
          <w:p w:rsidR="005D35EE" w:rsidRPr="00A13470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Hasil</w:t>
            </w:r>
            <w:proofErr w:type="spellEnd"/>
          </w:p>
        </w:tc>
        <w:tc>
          <w:tcPr>
            <w:tcW w:w="687" w:type="dxa"/>
          </w:tcPr>
          <w:p w:rsidR="005D35EE" w:rsidRPr="00A13470" w:rsidRDefault="005D35EE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Persamaan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D6302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="00CD63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D6302">
              <w:rPr>
                <w:rFonts w:asciiTheme="majorBidi" w:hAnsiTheme="majorBidi" w:cstheme="majorBidi"/>
                <w:sz w:val="18"/>
                <w:szCs w:val="18"/>
              </w:rPr>
              <w:t>penelitian</w:t>
            </w:r>
            <w:proofErr w:type="spellEnd"/>
            <w:r w:rsidR="00CD6302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="00CD6302">
              <w:rPr>
                <w:rFonts w:asciiTheme="majorBidi" w:hAnsiTheme="majorBidi" w:cstheme="majorBidi"/>
                <w:sz w:val="18"/>
                <w:szCs w:val="18"/>
              </w:rPr>
              <w:t>dilakukan</w:t>
            </w:r>
            <w:proofErr w:type="spellEnd"/>
          </w:p>
        </w:tc>
        <w:tc>
          <w:tcPr>
            <w:tcW w:w="668" w:type="dxa"/>
          </w:tcPr>
          <w:p w:rsidR="005D35EE" w:rsidRDefault="005D35EE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Perbedaan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dilakukan</w:t>
            </w:r>
            <w:proofErr w:type="spellEnd"/>
          </w:p>
        </w:tc>
      </w:tr>
      <w:tr w:rsidR="005F0CF1" w:rsidTr="005F0CF1">
        <w:tc>
          <w:tcPr>
            <w:tcW w:w="350" w:type="dxa"/>
          </w:tcPr>
          <w:p w:rsidR="00CD6302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005" w:type="dxa"/>
          </w:tcPr>
          <w:p w:rsidR="00CD6302" w:rsidRPr="00CD6302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Sandra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Patrícia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Bezerra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Rocha Eduardo Jos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é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Oenning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Soares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Denise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Dumke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CD6302">
              <w:rPr>
                <w:rFonts w:asciiTheme="majorBidi" w:hAnsiTheme="majorBidi" w:cstheme="majorBidi"/>
                <w:sz w:val="18"/>
                <w:szCs w:val="18"/>
              </w:rPr>
              <w:t>de Medeiros</w:t>
            </w:r>
          </w:p>
        </w:tc>
        <w:tc>
          <w:tcPr>
            <w:tcW w:w="1276" w:type="dxa"/>
          </w:tcPr>
          <w:p w:rsidR="00CD6302" w:rsidRPr="00CD6302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D6302">
              <w:rPr>
                <w:rFonts w:asciiTheme="majorBidi" w:hAnsiTheme="majorBidi" w:cstheme="majorBidi"/>
                <w:sz w:val="18"/>
                <w:szCs w:val="18"/>
              </w:rPr>
              <w:t>A model for evaluating environmental impacts in gas stations</w:t>
            </w:r>
          </w:p>
        </w:tc>
        <w:tc>
          <w:tcPr>
            <w:tcW w:w="1417" w:type="dxa"/>
          </w:tcPr>
          <w:p w:rsidR="00CD6302" w:rsidRPr="00CD6302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D6302">
              <w:rPr>
                <w:rFonts w:asciiTheme="majorBidi" w:hAnsiTheme="majorBidi" w:cstheme="majorBidi"/>
                <w:sz w:val="18"/>
                <w:szCs w:val="18"/>
              </w:rPr>
              <w:t>enterprise, researchers and governmental environmental agencies for evaluating the environmental impacts of gas stations</w:t>
            </w:r>
          </w:p>
        </w:tc>
        <w:tc>
          <w:tcPr>
            <w:tcW w:w="1843" w:type="dxa"/>
          </w:tcPr>
          <w:p w:rsidR="00CD6302" w:rsidRPr="00A13470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D6302">
              <w:rPr>
                <w:rFonts w:asciiTheme="majorBidi" w:hAnsiTheme="majorBidi" w:cstheme="majorBidi"/>
                <w:sz w:val="18"/>
                <w:szCs w:val="18"/>
              </w:rPr>
              <w:t>The design and implementation of this study followed steps that enabled a survey to be conducted by combining a wide variety of sources and bibliographical material, such as manuals, regulations, standards, laws and articles necessary for drawing up the model and the indicators of environmental impacts; and next the authors used two case studies to test the proposed model and exemplify the application.</w:t>
            </w:r>
          </w:p>
        </w:tc>
        <w:tc>
          <w:tcPr>
            <w:tcW w:w="1524" w:type="dxa"/>
          </w:tcPr>
          <w:p w:rsidR="00CD6302" w:rsidRPr="00A13470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D6302">
              <w:rPr>
                <w:rFonts w:asciiTheme="majorBidi" w:hAnsiTheme="majorBidi" w:cstheme="majorBidi"/>
                <w:sz w:val="18"/>
                <w:szCs w:val="18"/>
              </w:rPr>
              <w:t>The purpose of this paper is to set out a method for evaluating environmental impacts in the area of gas stations.</w:t>
            </w:r>
          </w:p>
        </w:tc>
        <w:tc>
          <w:tcPr>
            <w:tcW w:w="687" w:type="dxa"/>
          </w:tcPr>
          <w:p w:rsidR="00CD6302" w:rsidRPr="00A13470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8" w:type="dxa"/>
          </w:tcPr>
          <w:p w:rsidR="00CD6302" w:rsidRDefault="00CD6302" w:rsidP="00D1639A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F0CF1" w:rsidTr="005F0CF1">
        <w:tc>
          <w:tcPr>
            <w:tcW w:w="350" w:type="dxa"/>
          </w:tcPr>
          <w:p w:rsid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:rsidR="00CD6302" w:rsidRP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Sarra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Dahmani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Xavier Boucher Sophie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Peillon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Béatrix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Besombes</w:t>
            </w:r>
            <w:proofErr w:type="spellEnd"/>
          </w:p>
        </w:tc>
        <w:tc>
          <w:tcPr>
            <w:tcW w:w="1276" w:type="dxa"/>
          </w:tcPr>
          <w:p w:rsidR="00CD6302" w:rsidRP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A reliability diagnosis to support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servitization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decision-making process</w:t>
            </w:r>
          </w:p>
        </w:tc>
        <w:tc>
          <w:tcPr>
            <w:tcW w:w="1417" w:type="dxa"/>
          </w:tcPr>
          <w:p w:rsidR="00CD6302" w:rsidRP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The scientific orientation of this research consists in working at improving the efficiency of the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servitization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decision-making process, by identifying factors of non-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reliability</w:t>
            </w:r>
            <w:proofErr w:type="gram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,inordertopropose</w:t>
            </w:r>
            <w:proofErr w:type="spellEnd"/>
            <w:proofErr w:type="gram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remediationactionsforthewholeprocess.Improvingthefinaldecisions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takenbythemanagersis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consideredasaconsequenceoftheimprovementofthedecision-makingprocess reliability. The method, based on modeling and evaluation, requires the specification of a decision process model for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servitization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, used as a basis to assess decision process reliability and diagnose the enterprise’s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servitization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decision system. Improving the </w:t>
            </w:r>
            <w:r w:rsidRPr="00CD630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final decisions made by the managers is considered as a consequence of the improvement of the decision-making process reliability</w:t>
            </w:r>
          </w:p>
        </w:tc>
        <w:tc>
          <w:tcPr>
            <w:tcW w:w="1524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Servitization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ofmanufacturingischaracterized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byverycomplex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decision processes within strongly unstable and uncertain decision contexts. Decision-makers are face situations of lack of internal and external information. The purpose of this paper is to develop a decision aid approach to support the management of </w:t>
            </w:r>
            <w:proofErr w:type="spellStart"/>
            <w:r w:rsidRPr="00CD6302">
              <w:rPr>
                <w:rFonts w:asciiTheme="majorBidi" w:hAnsiTheme="majorBidi" w:cstheme="majorBidi"/>
                <w:sz w:val="18"/>
                <w:szCs w:val="18"/>
              </w:rPr>
              <w:t>servitization</w:t>
            </w:r>
            <w:proofErr w:type="spellEnd"/>
            <w:r w:rsidRPr="00CD6302">
              <w:rPr>
                <w:rFonts w:asciiTheme="majorBidi" w:hAnsiTheme="majorBidi" w:cstheme="majorBidi"/>
                <w:sz w:val="18"/>
                <w:szCs w:val="18"/>
              </w:rPr>
              <w:t xml:space="preserve"> decision-making processes.</w:t>
            </w:r>
          </w:p>
        </w:tc>
        <w:tc>
          <w:tcPr>
            <w:tcW w:w="687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8" w:type="dxa"/>
          </w:tcPr>
          <w:p w:rsid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F0CF1" w:rsidTr="005F0CF1">
        <w:tc>
          <w:tcPr>
            <w:tcW w:w="350" w:type="dxa"/>
          </w:tcPr>
          <w:p w:rsidR="00CD6302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</w:t>
            </w:r>
          </w:p>
        </w:tc>
        <w:tc>
          <w:tcPr>
            <w:tcW w:w="1005" w:type="dxa"/>
          </w:tcPr>
          <w:p w:rsidR="00CD6302" w:rsidRPr="00CD6302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Emiel</w:t>
            </w:r>
            <w:proofErr w:type="spell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 L.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Eijdenberg</w:t>
            </w:r>
            <w:proofErr w:type="spell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 Leonard J.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Paas</w:t>
            </w:r>
            <w:proofErr w:type="spell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 Enno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Masurel</w:t>
            </w:r>
            <w:proofErr w:type="spellEnd"/>
          </w:p>
        </w:tc>
        <w:tc>
          <w:tcPr>
            <w:tcW w:w="1276" w:type="dxa"/>
          </w:tcPr>
          <w:p w:rsidR="00CD6302" w:rsidRPr="00CD6302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0CF1">
              <w:rPr>
                <w:rFonts w:asciiTheme="majorBidi" w:hAnsiTheme="majorBidi" w:cstheme="majorBidi"/>
                <w:sz w:val="18"/>
                <w:szCs w:val="18"/>
              </w:rPr>
              <w:t>Decision-making and small business growth in Burundi</w:t>
            </w:r>
          </w:p>
        </w:tc>
        <w:tc>
          <w:tcPr>
            <w:tcW w:w="1417" w:type="dxa"/>
          </w:tcPr>
          <w:p w:rsidR="00CD6302" w:rsidRP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6302" w:rsidRPr="00A13470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0CF1">
              <w:rPr>
                <w:rFonts w:asciiTheme="majorBidi" w:hAnsiTheme="majorBidi" w:cstheme="majorBidi"/>
                <w:sz w:val="18"/>
                <w:szCs w:val="18"/>
              </w:rPr>
              <w:t>On the basis of primary data from a pre-study of 29 expert interviews</w:t>
            </w:r>
            <w:proofErr w:type="gram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,aquestionnairewasdevelopedandwasfilledinby154smallbusinessownersinBurundi’scapital</w:t>
            </w:r>
            <w:proofErr w:type="gram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, Bujumbura.Subsequently,correlationanalyses,afactoranalysisandregressionanalyseswereperformedto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testthehypotheses</w:t>
            </w:r>
            <w:proofErr w:type="spell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7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8" w:type="dxa"/>
          </w:tcPr>
          <w:p w:rsid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F0CF1" w:rsidTr="005F0CF1">
        <w:tc>
          <w:tcPr>
            <w:tcW w:w="350" w:type="dxa"/>
          </w:tcPr>
          <w:p w:rsidR="00CD6302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:rsidR="00CD6302" w:rsidRPr="00CD6302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J.R.C. Pimentel J.R. Kuntz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Detelin</w:t>
            </w:r>
            <w:proofErr w:type="spell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 S.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Elenkov</w:t>
            </w:r>
            <w:proofErr w:type="spellEnd"/>
          </w:p>
        </w:tc>
        <w:tc>
          <w:tcPr>
            <w:tcW w:w="1276" w:type="dxa"/>
          </w:tcPr>
          <w:p w:rsidR="00CD6302" w:rsidRPr="00CD6302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0CF1">
              <w:rPr>
                <w:rFonts w:asciiTheme="majorBidi" w:hAnsiTheme="majorBidi" w:cstheme="majorBidi"/>
                <w:sz w:val="18"/>
                <w:szCs w:val="18"/>
              </w:rPr>
              <w:t>Ethical decision‐making, an integrative model for business practice</w:t>
            </w:r>
          </w:p>
        </w:tc>
        <w:tc>
          <w:tcPr>
            <w:tcW w:w="1417" w:type="dxa"/>
          </w:tcPr>
          <w:p w:rsidR="00CD6302" w:rsidRP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6302" w:rsidRPr="00A13470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0CF1">
              <w:rPr>
                <w:rFonts w:asciiTheme="majorBidi" w:hAnsiTheme="majorBidi" w:cstheme="majorBidi"/>
                <w:sz w:val="18"/>
                <w:szCs w:val="18"/>
              </w:rPr>
              <w:t>Following the review, the paper advances a descriptive model of ethical decision-making criteria that elucidates how individual, organizational, and environmental variables interact to inﬂuence attitude formation across critical components of an ethical issue.</w:t>
            </w:r>
          </w:p>
        </w:tc>
        <w:tc>
          <w:tcPr>
            <w:tcW w:w="1524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7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8" w:type="dxa"/>
          </w:tcPr>
          <w:p w:rsid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F0CF1" w:rsidTr="005F0CF1">
        <w:tc>
          <w:tcPr>
            <w:tcW w:w="350" w:type="dxa"/>
          </w:tcPr>
          <w:p w:rsidR="00CD6302" w:rsidRPr="00A13470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CD6302" w:rsidRPr="00A13470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Carolina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Walger</w:t>
            </w:r>
            <w:proofErr w:type="spell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 Karina De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Dea</w:t>
            </w:r>
            <w:proofErr w:type="spell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Roglio</w:t>
            </w:r>
            <w:proofErr w:type="spell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 Gustavo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Abib</w:t>
            </w:r>
            <w:proofErr w:type="spellEnd"/>
          </w:p>
        </w:tc>
        <w:tc>
          <w:tcPr>
            <w:tcW w:w="1276" w:type="dxa"/>
          </w:tcPr>
          <w:p w:rsidR="00CD6302" w:rsidRPr="00A13470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0CF1">
              <w:rPr>
                <w:rFonts w:asciiTheme="majorBidi" w:hAnsiTheme="majorBidi" w:cstheme="majorBidi"/>
                <w:sz w:val="18"/>
                <w:szCs w:val="18"/>
              </w:rPr>
              <w:t>HR managers’ decision-making processes, a “reflective practice” analysis</w:t>
            </w:r>
          </w:p>
        </w:tc>
        <w:tc>
          <w:tcPr>
            <w:tcW w:w="1417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6302" w:rsidRPr="00A13470" w:rsidRDefault="005F0CF1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0CF1">
              <w:rPr>
                <w:rFonts w:asciiTheme="majorBidi" w:hAnsiTheme="majorBidi" w:cstheme="majorBidi"/>
                <w:sz w:val="18"/>
                <w:szCs w:val="18"/>
              </w:rPr>
              <w:t xml:space="preserve">A qualitative study was conducted based on an analysis of five </w:t>
            </w:r>
            <w:proofErr w:type="spellStart"/>
            <w:r w:rsidRPr="005F0CF1">
              <w:rPr>
                <w:rFonts w:asciiTheme="majorBidi" w:hAnsiTheme="majorBidi" w:cstheme="majorBidi"/>
                <w:sz w:val="18"/>
                <w:szCs w:val="18"/>
              </w:rPr>
              <w:t>HRdepartmentmanagers’strategicdecision-makingprocesses</w:t>
            </w:r>
            <w:proofErr w:type="spellEnd"/>
            <w:r w:rsidRPr="005F0CF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7" w:type="dxa"/>
          </w:tcPr>
          <w:p w:rsidR="00CD6302" w:rsidRPr="00A13470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8" w:type="dxa"/>
          </w:tcPr>
          <w:p w:rsidR="00CD6302" w:rsidRDefault="00CD6302" w:rsidP="00CD630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D6302" w:rsidRPr="00CD6302" w:rsidRDefault="00CD6302" w:rsidP="00CD630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D6302" w:rsidRPr="00CD6302" w:rsidRDefault="00CD6302" w:rsidP="00CD630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D6302" w:rsidRDefault="00CD6302" w:rsidP="00CD630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D6302" w:rsidRPr="00CD6302" w:rsidRDefault="00CD6302" w:rsidP="00CD630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D6302" w:rsidRDefault="00CD6302" w:rsidP="00CD630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D6302" w:rsidRDefault="00CD6302" w:rsidP="00CD630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D6302" w:rsidRPr="00CD6302" w:rsidRDefault="00CD6302" w:rsidP="00CD6302">
            <w:pPr>
              <w:tabs>
                <w:tab w:val="left" w:pos="7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</w:tr>
    </w:tbl>
    <w:p w:rsidR="005D35EE" w:rsidRPr="005D35EE" w:rsidRDefault="005D35EE" w:rsidP="005D35EE">
      <w:pPr>
        <w:pStyle w:val="ListParagraph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</w:rPr>
      </w:pPr>
      <w:r w:rsidRPr="005D35EE">
        <w:rPr>
          <w:rFonts w:ascii="Times New Roman" w:hAnsi="Times New Roman" w:cs="Times New Roman"/>
          <w:b/>
        </w:rPr>
        <w:t xml:space="preserve"> </w:t>
      </w:r>
    </w:p>
    <w:p w:rsidR="00590B3B" w:rsidRPr="00590B3B" w:rsidRDefault="00590B3B" w:rsidP="00590B3B">
      <w:pPr>
        <w:pStyle w:val="ListParagraph"/>
        <w:tabs>
          <w:tab w:val="left" w:pos="3640"/>
        </w:tabs>
        <w:spacing w:line="276" w:lineRule="auto"/>
        <w:ind w:left="792"/>
        <w:rPr>
          <w:rFonts w:ascii="Times New Roman" w:hAnsi="Times New Roman" w:cs="Times New Roman"/>
          <w:b/>
        </w:rPr>
      </w:pPr>
    </w:p>
    <w:p w:rsidR="00234451" w:rsidRDefault="0023445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F1" w:rsidRDefault="005F0CF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F1" w:rsidRDefault="005F0CF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F1" w:rsidRDefault="005F0CF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F1" w:rsidRDefault="005F0CF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F1" w:rsidRDefault="005F0CF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F1" w:rsidRDefault="005F0CF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F1" w:rsidRDefault="005F0CF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F1" w:rsidRDefault="005F0CF1" w:rsidP="00590B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5F0CF1" w:rsidRDefault="005F0CF1" w:rsidP="005F0CF1">
      <w:hyperlink r:id="rId6" w:history="1">
        <w:r w:rsidRPr="002C7837">
          <w:rPr>
            <w:rStyle w:val="Hyperlink"/>
          </w:rPr>
          <w:t>http://www.emeraldinsight.com/doi/full/10.1108/14777831111170885</w:t>
        </w:r>
      </w:hyperlink>
    </w:p>
    <w:p w:rsidR="005F0CF1" w:rsidRDefault="005F0CF1" w:rsidP="005F0CF1">
      <w:hyperlink r:id="rId7" w:history="1">
        <w:r w:rsidRPr="002C7837">
          <w:rPr>
            <w:rStyle w:val="Hyperlink"/>
          </w:rPr>
          <w:t>http://www.emeraldinsight.com/doi/full/10.1108/JMTM-06-2015-0044</w:t>
        </w:r>
      </w:hyperlink>
    </w:p>
    <w:p w:rsidR="005F0CF1" w:rsidRDefault="005F0CF1" w:rsidP="005F0CF1">
      <w:hyperlink r:id="rId8" w:history="1">
        <w:r w:rsidRPr="002C7837">
          <w:rPr>
            <w:rStyle w:val="Hyperlink"/>
          </w:rPr>
          <w:t>http://www.emeraldinsight.com/doi/full/10.1108/JEEE-12-2015-0065</w:t>
        </w:r>
      </w:hyperlink>
    </w:p>
    <w:p w:rsidR="005F0CF1" w:rsidRDefault="005F0CF1" w:rsidP="005F0CF1">
      <w:hyperlink r:id="rId9" w:history="1">
        <w:r w:rsidRPr="002C7837">
          <w:rPr>
            <w:rStyle w:val="Hyperlink"/>
          </w:rPr>
          <w:t>http://www.emeraldinsight.com/doi/full/10.1108/09555341011056159</w:t>
        </w:r>
      </w:hyperlink>
    </w:p>
    <w:p w:rsidR="005F0CF1" w:rsidRDefault="005F0CF1" w:rsidP="005F0CF1">
      <w:pPr>
        <w:rPr>
          <w:rStyle w:val="Hyperlink"/>
        </w:rPr>
      </w:pPr>
      <w:hyperlink r:id="rId10" w:history="1">
        <w:r w:rsidRPr="002C7837">
          <w:rPr>
            <w:rStyle w:val="Hyperlink"/>
          </w:rPr>
          <w:t>http://www.emeraldinsight.com/doi/full/10.1108/MRR-11-2014-0250</w:t>
        </w:r>
      </w:hyperlink>
    </w:p>
    <w:p w:rsidR="005F0CF1" w:rsidRDefault="005F0CF1" w:rsidP="005F0CF1">
      <w:hyperlink r:id="rId11" w:history="1">
        <w:r w:rsidRPr="00CB6392">
          <w:rPr>
            <w:rStyle w:val="Hyperlink"/>
          </w:rPr>
          <w:t>http://www.beritasatu.com/ekonomi/330267-10-tahun-pertamina-targetkan-seluruh-spbu-berkonsep-pasti-prima.html</w:t>
        </w:r>
      </w:hyperlink>
    </w:p>
    <w:p w:rsidR="005F0CF1" w:rsidRDefault="005F0CF1" w:rsidP="005F0CF1">
      <w:r w:rsidRPr="005F0CF1">
        <w:t>http://bisnis.liputan6.com/read/2614778/pertamina-retail-target-miliki-1000-spbu-di-2020</w:t>
      </w:r>
    </w:p>
    <w:p w:rsidR="005F0CF1" w:rsidRDefault="005F0CF1" w:rsidP="005F0CF1">
      <w:proofErr w:type="spellStart"/>
      <w:r>
        <w:t>Dokumen</w:t>
      </w:r>
      <w:proofErr w:type="spellEnd"/>
      <w:r>
        <w:t xml:space="preserve"> Internal PT. </w:t>
      </w:r>
      <w:proofErr w:type="spellStart"/>
      <w:r>
        <w:t>Pertamina</w:t>
      </w:r>
      <w:proofErr w:type="spellEnd"/>
      <w:r>
        <w:t xml:space="preserve"> </w:t>
      </w:r>
      <w:bookmarkStart w:id="0" w:name="_GoBack"/>
      <w:bookmarkEnd w:id="0"/>
    </w:p>
    <w:p w:rsidR="005F0CF1" w:rsidRPr="005F0CF1" w:rsidRDefault="005F0CF1" w:rsidP="005F0CF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0CF1" w:rsidRPr="005F0CF1" w:rsidSect="0023445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3107"/>
    <w:multiLevelType w:val="multilevel"/>
    <w:tmpl w:val="526ED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682F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2B6032"/>
    <w:multiLevelType w:val="hybridMultilevel"/>
    <w:tmpl w:val="E320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51"/>
    <w:rsid w:val="001D6CD1"/>
    <w:rsid w:val="00234451"/>
    <w:rsid w:val="00365539"/>
    <w:rsid w:val="0039290B"/>
    <w:rsid w:val="00590B3B"/>
    <w:rsid w:val="005D35EE"/>
    <w:rsid w:val="005F0CF1"/>
    <w:rsid w:val="00720893"/>
    <w:rsid w:val="008841FF"/>
    <w:rsid w:val="00B14727"/>
    <w:rsid w:val="00B65445"/>
    <w:rsid w:val="00CD6302"/>
    <w:rsid w:val="00D1775B"/>
    <w:rsid w:val="00D76E3A"/>
    <w:rsid w:val="00D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6E33-9BC0-4353-8F92-43E9D7D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3B"/>
    <w:pPr>
      <w:ind w:left="720"/>
      <w:contextualSpacing/>
    </w:pPr>
  </w:style>
  <w:style w:type="table" w:styleId="TableGrid">
    <w:name w:val="Table Grid"/>
    <w:basedOn w:val="TableNormal"/>
    <w:uiPriority w:val="39"/>
    <w:rsid w:val="005D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0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doi/full/10.1108/JEEE-12-2015-00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eraldinsight.com/doi/full/10.1108/JMTM-06-2015-00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raldinsight.com/doi/full/10.1108/14777831111170885" TargetMode="External"/><Relationship Id="rId11" Type="http://schemas.openxmlformats.org/officeDocument/2006/relationships/hyperlink" Target="http://www.beritasatu.com/ekonomi/330267-10-tahun-pertamina-targetkan-seluruh-spbu-berkonsep-pasti-prima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meraldinsight.com/doi/full/10.1108/MRR-11-2014-0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eraldinsight.com/doi/full/10.1108/09555341011056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Fauzan</dc:creator>
  <cp:keywords/>
  <dc:description/>
  <cp:lastModifiedBy>Muhammad Fauzan</cp:lastModifiedBy>
  <cp:revision>5</cp:revision>
  <dcterms:created xsi:type="dcterms:W3CDTF">2017-03-07T05:14:00Z</dcterms:created>
  <dcterms:modified xsi:type="dcterms:W3CDTF">2017-03-08T09:13:00Z</dcterms:modified>
</cp:coreProperties>
</file>